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Załącznik nr 3 do Zapytania ofertowego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ZAPYTANIE OFERTOWE nr </w:t>
      </w:r>
      <w:r>
        <w:rPr>
          <w:rFonts w:ascii="Aptos Display" w:hAnsi="Aptos Display"/>
          <w:sz w:val="24"/>
          <w:szCs w:val="24"/>
        </w:rPr>
        <w:t>2</w:t>
      </w:r>
      <w:r>
        <w:rPr>
          <w:rFonts w:ascii="Aptos Display" w:hAnsi="Aptos Display"/>
          <w:sz w:val="24"/>
          <w:szCs w:val="24"/>
        </w:rPr>
        <w:t>/2026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cs="Arial" w:ascii="Aptos Display" w:hAnsi="Aptos Display"/>
          <w:sz w:val="24"/>
          <w:szCs w:val="24"/>
        </w:rPr>
        <w:t>Dotyczy wykonania robót budowlanych w</w:t>
      </w:r>
      <w:r>
        <w:rPr>
          <w:rFonts w:ascii="Aptos Display" w:hAnsi="Aptos Display"/>
          <w:sz w:val="24"/>
          <w:szCs w:val="24"/>
        </w:rPr>
        <w:t xml:space="preserve"> ramach projektu pt.: </w:t>
      </w:r>
    </w:p>
    <w:p>
      <w:pPr>
        <w:pStyle w:val="Normal"/>
        <w:spacing w:lineRule="auto" w:line="240" w:before="0" w:after="0"/>
        <w:jc w:val="end"/>
        <w:rPr>
          <w:rFonts w:ascii="Aptos Display" w:hAnsi="Aptos Display" w:cs="ArialMT"/>
          <w:sz w:val="24"/>
          <w:szCs w:val="24"/>
        </w:rPr>
      </w:pPr>
      <w:r>
        <w:rPr>
          <w:rFonts w:ascii="Aptos Display" w:hAnsi="Aptos Display"/>
          <w:b/>
        </w:rPr>
        <w:t>„</w:t>
      </w:r>
      <w:r>
        <w:rPr>
          <w:rFonts w:ascii="Aptos Display" w:hAnsi="Aptos Display"/>
          <w:b/>
        </w:rPr>
        <w:t>Poprawa dostępności do usług diagnostycznych dla pacjentów w NZOZ Zdrowie w Rogowie poprzez inwestycje w infrastrukturę zdrowia.”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b/>
          <w:sz w:val="24"/>
          <w:szCs w:val="24"/>
        </w:rPr>
        <w:t>Specyfikacja techniczna przedmiotu zamówienia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320" w:after="0"/>
        <w:outlineLvl w:val="0"/>
        <w:rPr>
          <w:rFonts w:ascii="Aptos Display" w:hAnsi="Aptos Display" w:eastAsia="Times New Roman" w:cs="Times New Roman"/>
          <w:b/>
          <w:bCs/>
          <w:color w:val="2E74B5"/>
          <w:sz w:val="32"/>
          <w:szCs w:val="32"/>
        </w:rPr>
      </w:pPr>
      <w:bookmarkStart w:id="0" w:name="_Hlk498511034"/>
      <w:bookmarkStart w:id="1" w:name="_Toc205545072"/>
      <w:r>
        <w:rPr>
          <w:rFonts w:eastAsia="Times New Roman" w:cs="Times New Roman" w:ascii="Aptos Display" w:hAnsi="Aptos Display"/>
          <w:b/>
          <w:bCs/>
          <w:color w:val="2E74B5"/>
          <w:sz w:val="32"/>
          <w:szCs w:val="32"/>
        </w:rPr>
        <w:t>1. Zakres zadań, ogłoszenie zamówienia</w:t>
      </w:r>
      <w:bookmarkEnd w:id="1"/>
    </w:p>
    <w:p>
      <w:pPr>
        <w:pStyle w:val="Normal"/>
        <w:spacing w:lineRule="auto" w:line="360"/>
        <w:jc w:val="both"/>
        <w:rPr>
          <w:rFonts w:ascii="Aptos Display" w:hAnsi="Aptos Display" w:eastAsia="Times New Roman" w:cs="Times New Roman"/>
          <w:color w:val="2E74B5"/>
          <w:sz w:val="24"/>
          <w:szCs w:val="24"/>
        </w:rPr>
      </w:pPr>
      <w:r>
        <w:rPr>
          <w:rFonts w:eastAsia="Times New Roman" w:cs="Times New Roman" w:ascii="Aptos Display" w:hAnsi="Aptos Display"/>
          <w:color w:val="2E74B5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Roboto" w:hAnsi="Roboto"/>
          <w:shd w:fill="FFFFFF" w:val="clear"/>
        </w:rPr>
      </w:pPr>
      <w:r>
        <w:rPr>
          <w:rFonts w:cs="Cambria" w:ascii="Aptos Display" w:hAnsi="Aptos Display" w:cstheme="majorHAnsi"/>
          <w:sz w:val="24"/>
          <w:szCs w:val="24"/>
        </w:rPr>
        <w:t xml:space="preserve">Dokument opisuje szczegółowe warunki oraz zasady realizacji, jakie ma spełniać przedmiot zamówienia, tj. </w:t>
      </w:r>
      <w:r>
        <w:rPr>
          <w:rFonts w:cs="Arial" w:ascii="Aptos Display" w:hAnsi="Aptos Display"/>
          <w:sz w:val="24"/>
          <w:szCs w:val="24"/>
        </w:rPr>
        <w:t xml:space="preserve">wykonanie robót budowlanych w </w:t>
      </w:r>
      <w:r>
        <w:rPr>
          <w:rFonts w:cs="Cambria" w:ascii="Aptos Display" w:hAnsi="Aptos Display" w:cstheme="majorHAnsi"/>
          <w:sz w:val="24"/>
          <w:szCs w:val="24"/>
        </w:rPr>
        <w:t xml:space="preserve">ramach realizacji Projektu pn.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„Poprawa dostępności do usług diagnostycznych dla pacjentów w NZOZ Zdrowie w Rogowie poprzez inwestycje w infrastrukturę zdrowia.”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realizowanego przez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.”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realizowanego przez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 </w:t>
      </w:r>
      <w:r>
        <w:rPr>
          <w:rFonts w:ascii="Roboto" w:hAnsi="Roboto"/>
          <w:shd w:fill="FFFFFF" w:val="clear"/>
        </w:rPr>
        <w:t>Niepubliczny Zakład Opieki Zdrowotnej Zdrowie Rogów Sp. z o.o.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 </w:t>
      </w:r>
      <w:bookmarkStart w:id="2" w:name="_Hlk197947704"/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Priorytet: 6 Fundusze europejskie dla Łódzkiego przyjaznego mieszkańcom, Działanie: 6.3 </w:t>
      </w:r>
      <w:r>
        <w:rPr>
          <w:rFonts w:ascii="Roboto" w:hAnsi="Roboto"/>
          <w:shd w:fill="FFFFFF" w:val="clear"/>
        </w:rPr>
        <w:t>Infrastruktura zdrowotna.</w:t>
      </w:r>
      <w:bookmarkEnd w:id="2"/>
    </w:p>
    <w:p>
      <w:pPr>
        <w:pStyle w:val="Heading1"/>
        <w:rPr>
          <w:rFonts w:ascii="Aptos Display" w:hAnsi="Aptos Display" w:eastAsia="Times New Roman" w:cs="Times New Roman"/>
          <w:b/>
          <w:bCs/>
          <w:color w:val="2E74B5"/>
          <w:sz w:val="22"/>
          <w:szCs w:val="22"/>
        </w:rPr>
      </w:pPr>
      <w:bookmarkStart w:id="3" w:name="_Toc205545073"/>
      <w:bookmarkStart w:id="4" w:name="_Toc499042001"/>
      <w:bookmarkEnd w:id="0"/>
      <w:r>
        <w:rPr>
          <w:rFonts w:eastAsia="Times New Roman" w:cs="Times New Roman" w:ascii="Aptos Display" w:hAnsi="Aptos Display"/>
          <w:b/>
          <w:bCs/>
          <w:color w:val="2E74B5"/>
        </w:rPr>
        <w:t>2</w:t>
      </w:r>
      <w:bookmarkStart w:id="5" w:name="_Hlk40881619"/>
      <w:r>
        <w:rPr>
          <w:rFonts w:eastAsia="Times New Roman" w:cs="Times New Roman" w:ascii="Aptos Display" w:hAnsi="Aptos Display"/>
          <w:b/>
          <w:bCs/>
          <w:color w:val="2E74B5"/>
        </w:rPr>
        <w:t xml:space="preserve">. Terminy realizacji </w:t>
      </w:r>
      <w:bookmarkStart w:id="6" w:name="_Toc40866938"/>
      <w:bookmarkEnd w:id="4"/>
      <w:r>
        <w:rPr>
          <w:rFonts w:eastAsia="Times New Roman" w:cs="Times New Roman" w:ascii="Aptos Display" w:hAnsi="Aptos Display"/>
          <w:b/>
          <w:bCs/>
          <w:color w:val="2E74B5"/>
        </w:rPr>
        <w:t>robót budowlanych</w:t>
      </w:r>
      <w:bookmarkEnd w:id="3"/>
      <w:bookmarkEnd w:id="6"/>
    </w:p>
    <w:p>
      <w:pPr>
        <w:pStyle w:val="Normal"/>
        <w:spacing w:lineRule="auto" w:line="360"/>
        <w:rPr>
          <w:rFonts w:ascii="Aptos Display" w:hAnsi="Aptos Display" w:eastAsia="Times New Roman" w:cs="Times New Roman"/>
          <w:color w:val="2E74B5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Terminy realizacji zadań.</w:t>
      </w:r>
      <w:bookmarkEnd w:id="5"/>
    </w:p>
    <w:tbl>
      <w:tblPr>
        <w:tblStyle w:val="Tabela-Siatka"/>
        <w:tblW w:w="10519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96"/>
        <w:gridCol w:w="4961"/>
        <w:gridCol w:w="4962"/>
      </w:tblGrid>
      <w:tr>
        <w:trPr/>
        <w:tc>
          <w:tcPr>
            <w:tcW w:w="10519" w:type="dxa"/>
            <w:gridSpan w:val="3"/>
            <w:tcBorders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Aptos Display" w:hAnsi="Aptos Display" w:cs="Cambria" w:cstheme="majorHAnsi"/>
                <w:b/>
                <w:bCs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ROBOTY BUDOWLANE:</w:t>
            </w:r>
          </w:p>
        </w:tc>
      </w:tr>
      <w:tr>
        <w:trPr/>
        <w:tc>
          <w:tcPr>
            <w:tcW w:w="596" w:type="dxa"/>
            <w:tcBorders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Lp.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360" w:before="0" w:after="16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Przedmiot zamówienia</w:t>
            </w:r>
          </w:p>
        </w:tc>
        <w:tc>
          <w:tcPr>
            <w:tcW w:w="4962" w:type="dxa"/>
            <w:tcBorders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Termin realizacji</w:t>
            </w:r>
          </w:p>
        </w:tc>
      </w:tr>
      <w:tr>
        <w:trPr/>
        <w:tc>
          <w:tcPr>
            <w:tcW w:w="596" w:type="dxa"/>
            <w:tcBorders/>
            <w:vAlign w:val="center"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bookmarkStart w:id="7" w:name="_Hlk40883730"/>
            <w:r>
              <w:rPr>
                <w:rFonts w:eastAsia="Calibri" w:cs="Cambria" w:ascii="Aptos Display" w:hAnsi="Aptos Display" w:cstheme="majorHAnsi"/>
                <w:kern w:val="0"/>
                <w:sz w:val="24"/>
                <w:szCs w:val="24"/>
                <w:lang w:val="pl-PL" w:eastAsia="en-US" w:bidi="ar-SA"/>
              </w:rPr>
              <w:t>1.</w:t>
            </w:r>
          </w:p>
        </w:tc>
        <w:tc>
          <w:tcPr>
            <w:tcW w:w="4961" w:type="dxa"/>
            <w:tcBorders>
              <w:top w:val="nil"/>
              <w:start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240" w:before="0" w:after="0"/>
              <w:jc w:val="start"/>
              <w:rPr>
                <w:rFonts w:ascii="Aptos Display" w:hAnsi="Aptos Display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Arial" w:ascii="Aptos Display" w:hAnsi="Aptos Display"/>
                <w:b/>
                <w:bCs/>
                <w:color w:val="000000"/>
                <w:kern w:val="0"/>
                <w:sz w:val="24"/>
                <w:szCs w:val="24"/>
                <w:lang w:val="pl-PL" w:eastAsia="en-US" w:bidi="ar-SA"/>
              </w:rPr>
              <w:t xml:space="preserve">Prace budowlane polegające na remoncie łazienki i pokoju pielęgniarek - 1 kpl. </w:t>
            </w:r>
          </w:p>
        </w:tc>
        <w:tc>
          <w:tcPr>
            <w:tcW w:w="496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Aptos Display" w:hAnsi="Aptos Display" w:cs="Cambria" w:cstheme="majorHAnsi"/>
                <w:b/>
                <w:bCs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 xml:space="preserve">Termin rozpoczęcia prac po podpisaniu umowy od 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23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.0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5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 xml:space="preserve">.2026 r. do 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2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1.0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6</w:t>
            </w:r>
            <w:r>
              <w:rPr>
                <w:rFonts w:eastAsia="Calibri" w:cs="Cambria" w:ascii="Aptos Display" w:hAnsi="Aptos Display" w:cstheme="maj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.2026 r.</w:t>
            </w:r>
          </w:p>
        </w:tc>
      </w:tr>
    </w:tbl>
    <w:p>
      <w:pPr>
        <w:pStyle w:val="Normal"/>
        <w:spacing w:lineRule="auto" w:line="360"/>
        <w:jc w:val="both"/>
        <w:rPr>
          <w:rFonts w:ascii="Aptos Display" w:hAnsi="Aptos Display"/>
          <w:b/>
          <w:bCs/>
          <w:sz w:val="24"/>
          <w:szCs w:val="24"/>
        </w:rPr>
      </w:pPr>
      <w:r>
        <w:rPr>
          <w:rFonts w:ascii="Aptos Display" w:hAnsi="Aptos Display"/>
          <w:b/>
          <w:bCs/>
          <w:sz w:val="24"/>
          <w:szCs w:val="24"/>
        </w:rPr>
      </w:r>
      <w:bookmarkEnd w:id="7"/>
    </w:p>
    <w:p>
      <w:pPr>
        <w:pStyle w:val="Normal"/>
        <w:spacing w:lineRule="auto" w:line="360"/>
        <w:jc w:val="both"/>
        <w:rPr>
          <w:rFonts w:ascii="Aptos Display" w:hAnsi="Aptos Display"/>
          <w:b/>
          <w:bCs/>
          <w:sz w:val="24"/>
          <w:szCs w:val="24"/>
        </w:rPr>
      </w:pPr>
      <w:r>
        <w:rPr>
          <w:rFonts w:ascii="Aptos Display" w:hAnsi="Aptos Display"/>
          <w:b/>
          <w:bCs/>
          <w:sz w:val="24"/>
          <w:szCs w:val="24"/>
        </w:rPr>
        <w:t>Godziny realizacji prac:</w:t>
      </w:r>
    </w:p>
    <w:p>
      <w:pPr>
        <w:pStyle w:val="Normal"/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Zamawiający zastrzega, że roboty budowlane będą prowadzone w czynnym obiekcie ochrony zdrowia. Z uwagi na konieczność zapewnienia ciągłości udzielania świadczeń zdrowotnych oraz bezpieczeństwa pacjentów i personelu, prace remontowe mogą być prowadzone wyłącznie w weekendy. Wykonawca zobowiązany jest do organizacji robót w sposób minimalizujący uciążliwości dla użytkowników obiektu.</w:t>
      </w:r>
    </w:p>
    <w:p>
      <w:pPr>
        <w:pStyle w:val="Normal"/>
        <w:spacing w:lineRule="auto" w:line="36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Zamawiający zapewnia dostępność placówki we wskazanym przedziale czasowym. </w:t>
      </w:r>
    </w:p>
    <w:p>
      <w:pPr>
        <w:pStyle w:val="Heading1"/>
        <w:rPr>
          <w:rFonts w:ascii="Aptos Display" w:hAnsi="Aptos Display"/>
          <w:b/>
          <w:bCs/>
        </w:rPr>
      </w:pPr>
      <w:bookmarkStart w:id="8" w:name="_Toc205545074"/>
      <w:r>
        <w:rPr>
          <w:rFonts w:ascii="Aptos Display" w:hAnsi="Aptos Display"/>
          <w:b/>
          <w:bCs/>
        </w:rPr>
        <w:t>3. Specyfikacja szczegółowych warunków oraz zasady realizacji</w:t>
      </w:r>
      <w:bookmarkEnd w:id="8"/>
    </w:p>
    <w:tbl>
      <w:tblPr>
        <w:tblStyle w:val="Tabela-Siatka"/>
        <w:tblW w:w="10348" w:type="dxa"/>
        <w:jc w:val="start"/>
        <w:tblInd w:w="-71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67"/>
        <w:gridCol w:w="2751"/>
        <w:gridCol w:w="7030"/>
      </w:tblGrid>
      <w:tr>
        <w:trPr/>
        <w:tc>
          <w:tcPr>
            <w:tcW w:w="10348" w:type="dxa"/>
            <w:gridSpan w:val="3"/>
            <w:tcBorders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160"/>
              <w:jc w:val="center"/>
              <w:rPr>
                <w:rFonts w:ascii="Aptos Display" w:hAnsi="Aptos Display" w:cs="Cambria" w:cstheme="majorHAnsi"/>
                <w:b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ROBOTY BUDOWLANE: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160"/>
              <w:jc w:val="center"/>
              <w:rPr>
                <w:rFonts w:ascii="Aptos Display" w:hAnsi="Aptos Display" w:cs="Cambria" w:cstheme="majorHAnsi"/>
                <w:b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Lp.</w:t>
            </w:r>
          </w:p>
        </w:tc>
        <w:tc>
          <w:tcPr>
            <w:tcW w:w="2751" w:type="dxa"/>
            <w:tcBorders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16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Nazwa działania/przedmiot zamówienia</w:t>
            </w:r>
          </w:p>
        </w:tc>
        <w:tc>
          <w:tcPr>
            <w:tcW w:w="7030" w:type="dxa"/>
            <w:tcBorders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0"/>
              <w:jc w:val="center"/>
              <w:rPr>
                <w:rFonts w:ascii="Aptos Display" w:hAnsi="Aptos Display" w:cs="Cambria" w:cstheme="majorHAnsi"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Minimalne parametry techniczne</w:t>
            </w:r>
          </w:p>
        </w:tc>
      </w:tr>
      <w:tr>
        <w:trPr>
          <w:trHeight w:val="10164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160"/>
              <w:jc w:val="center"/>
              <w:rPr>
                <w:rFonts w:ascii="Aptos Display" w:hAnsi="Aptos Display" w:cs="Cambria" w:cstheme="majorHAnsi"/>
                <w:b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1.</w:t>
            </w:r>
          </w:p>
        </w:tc>
        <w:tc>
          <w:tcPr>
            <w:tcW w:w="2751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360" w:before="0" w:after="160"/>
              <w:jc w:val="start"/>
              <w:rPr>
                <w:rFonts w:ascii="Aptos Display" w:hAnsi="Aptos Display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Arial" w:ascii="Aptos Display" w:hAnsi="Aptos Display"/>
                <w:b/>
                <w:bCs/>
                <w:color w:val="000000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360" w:before="0" w:after="160"/>
              <w:jc w:val="both"/>
              <w:rPr>
                <w:rFonts w:ascii="Aptos Display" w:hAnsi="Aptos Display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Arial" w:ascii="Aptos Display" w:hAnsi="Aptos Display"/>
                <w:b/>
                <w:bCs/>
                <w:color w:val="000000"/>
                <w:kern w:val="0"/>
                <w:sz w:val="24"/>
                <w:szCs w:val="24"/>
                <w:lang w:val="pl-PL" w:eastAsia="en-US" w:bidi="ar-SA"/>
              </w:rPr>
              <w:t>Prace budowlane polegające na remoncie łazienki</w:t>
            </w:r>
          </w:p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360" w:before="0" w:after="160"/>
              <w:jc w:val="start"/>
              <w:rPr>
                <w:rFonts w:ascii="Aptos Display" w:hAnsi="Aptos Display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Arial" w:ascii="Aptos Display" w:hAnsi="Aptos Display"/>
                <w:b/>
                <w:bCs/>
                <w:color w:val="000000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7030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Wykonanie prac zgodne z obowiązującymi normami budowlanymi i sanitarnymi obowiązującymi dla obiektów użyteczności publicznej, ponieważ musi spełniać określone normy dotyczące dostępności i higieny. Zgodnie z przepisami, toalety w budynkach użyteczności publicznej muszą być wyposażone w podstawowe urządzenia sanitarne, a ich projekt powinien uwzględniać potrzeby wszystkich użytkowników, w tym osób z niepełnosprawnościami. W przypadku przychodni zdrowia, toalety powinny być zaprojektowane z myślą o bezpieczeństwie i komforcie użytkowania, co również jest kluczowe dla zgodności z wymaganiami użyteczności publicznej.</w:t>
            </w:r>
          </w:p>
          <w:p>
            <w:pPr>
              <w:pStyle w:val="Normal"/>
              <w:widowControl/>
              <w:spacing w:lineRule="auto" w:line="360" w:before="0" w:after="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Prace remontowe w łazience będą polegały na: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Autospacing="1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Demontażu istniejących urządzeń sanitarnych, okładzin ściennych i podłogowych, sufitów podwieszanych,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Wymianie instalacji wodno-kanalizacyjnej, w tym punktów czerpalnych i odpływów,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Wymianie instalacji elektrycznej – opraw oświetleniowych, gniazd, włączników, wentylacji,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Wyrównanie i przygotowanie powierzchni ścian i posadzek,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Montażu nowych okładzin: płytki ceramiczne o podwyższonej odporności chemicznej i ścieralności (min. klasa PEI IV)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Montażu nowych urządzeń sanitarnych (WC, umywalki, baterie bezdotykowe, suszarki do rąk),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Malowaniu sufitów farbą zmywalną, odporną na wilgoć.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Montażu nowych drzwi wewnętrznych z materiałów higienicznych (np. płyta HPL lub stal nierdzewna z wypełnieniem pełnym),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Autospacing="1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Instalacji oznakowania zgodnie z wymaganiami dostępności (piktogramy, oznaczenia brajlowskie).</w:t>
            </w:r>
          </w:p>
          <w:p>
            <w:pPr>
              <w:pStyle w:val="Normal"/>
              <w:widowControl/>
              <w:spacing w:lineRule="auto" w:line="360" w:before="160" w:after="24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Proponowane materiały: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Autospacing="1" w:after="0"/>
              <w:ind w:hanging="360" w:start="556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Zamawiający dopuszcza zastosowanie materiałów równoważnych, pod warunkiem że posiadają one parametry techniczne, jakościowe i użytkowe nie gorsze niż wskazane w opisie przedmiotu zamówienia.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ind w:hanging="360" w:start="556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Proponowane materiały powinny być fabrycznie nowe, wolne od wad, dopuszczone do obrotu i stosowania na terenie RP, posiadać wymagane atesty, certyfikaty i deklaracje zgodności oraz spełniać co najmniej następujące wymagania: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Płytki ceramiczne ścienne: gres szkliwiony, rozmiar np. 30x60 cm.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Posadzka: gres antypoślizgowy (klasa R10).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Baterie bezdotykowe – np. Oras Electra.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Toalety kompaktowe lub podwieszane, z deską antybakteryjną.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Farba: lateksowa, zmywalna, odporna na pleśń (np. Tikkurila Luja lub równoważna).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Drzwi: drewniane lakierowane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160"/>
              <w:ind w:hanging="360" w:start="556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Wymagane normy i wytyczne: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Rozporządzenie Ministra Infrastruktury ws. warunków technicznych (Dz.U. 2015 poz. 1422 z późn. zm.).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12056 – systemy kanalizacji grawitacyjnej.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806-2 – instalacje wodociągowe.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12464-1 – oświetlenie miejsc pracy wewnątrz.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13501-1 – klasyfikacja ogniowa materiałów budowlanych.</w:t>
            </w:r>
          </w:p>
          <w:p>
            <w:pPr>
              <w:pStyle w:val="Normal"/>
              <w:widowControl/>
              <w:numPr>
                <w:ilvl w:val="1"/>
                <w:numId w:val="2"/>
              </w:numPr>
              <w:spacing w:lineRule="auto" w:line="360" w:before="0" w:after="0"/>
              <w:ind w:hanging="360" w:start="839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Wytyczne sanitarno-epidemiologiczne GIS/NFZ.</w:t>
            </w:r>
          </w:p>
        </w:tc>
      </w:tr>
      <w:tr>
        <w:trPr>
          <w:trHeight w:val="612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7905" w:leader="none"/>
              </w:tabs>
              <w:spacing w:before="0" w:after="160"/>
              <w:jc w:val="center"/>
              <w:rPr>
                <w:rFonts w:ascii="Aptos Display" w:hAnsi="Aptos Display" w:cs="Cambria" w:cstheme="majorHAnsi"/>
                <w:b/>
                <w:sz w:val="24"/>
                <w:szCs w:val="24"/>
              </w:rPr>
            </w:pPr>
            <w:r>
              <w:rPr>
                <w:rFonts w:eastAsia="Calibri" w:cs="Cambria" w:ascii="Aptos Display" w:hAnsi="Aptos Display" w:cstheme="majorHAnsi"/>
                <w:b/>
                <w:kern w:val="0"/>
                <w:sz w:val="24"/>
                <w:szCs w:val="24"/>
                <w:lang w:val="pl-PL" w:eastAsia="en-US" w:bidi="ar-SA"/>
              </w:rPr>
              <w:t>2.</w:t>
            </w:r>
          </w:p>
        </w:tc>
        <w:tc>
          <w:tcPr>
            <w:tcW w:w="2751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2145" w:leader="none"/>
              </w:tabs>
              <w:spacing w:lineRule="auto" w:line="360" w:before="0" w:after="160"/>
              <w:jc w:val="start"/>
              <w:rPr>
                <w:rFonts w:ascii="Aptos Display" w:hAnsi="Aptos Display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Arial" w:ascii="Aptos Display" w:hAnsi="Aptos Display"/>
                <w:b/>
                <w:bCs/>
                <w:color w:val="000000"/>
                <w:kern w:val="0"/>
                <w:sz w:val="24"/>
                <w:szCs w:val="24"/>
                <w:lang w:val="pl-PL" w:eastAsia="en-US" w:bidi="ar-SA"/>
              </w:rPr>
              <w:t>Prace budowlane polegające na remoncie pokoju pielęgniarek</w:t>
            </w:r>
          </w:p>
        </w:tc>
        <w:tc>
          <w:tcPr>
            <w:tcW w:w="7030" w:type="dxa"/>
            <w:tcBorders/>
          </w:tcPr>
          <w:p>
            <w:pPr>
              <w:pStyle w:val="Normal"/>
              <w:widowControl/>
              <w:spacing w:lineRule="auto" w:line="360" w:before="160" w:after="24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Pokój pielęgniarek jest częścią obiektu ochrony zdrowia, który stanowi szczególną kategorię obiektu użyteczności publicznej. Przy wykonaniu prac remontowych należy uwzględnić aktualne wymagania dla obiektów użyteczności publicznej, a w pierwszej kolejności przepisy sanitarne i techniczne właściwe dla podmiotów leczniczych. Obowiązek dostosowania dotyczy zakresu wykonanych robót i zastosowanych materiałów.</w:t>
            </w:r>
          </w:p>
          <w:p>
            <w:pPr>
              <w:pStyle w:val="Normal"/>
              <w:widowControl/>
              <w:spacing w:lineRule="auto" w:line="360" w:before="160" w:after="24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 xml:space="preserve">Prace remontowe w pokoju pielęgniarek będą polegały na: 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160" w:after="24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Przygotowaniu ścian (czyszczenie, szpachlowanie, gruntowanie), naprawie pęknięć w suficie.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160" w:after="24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Malowaniu ścian i sufitów.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160" w:after="24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Wymianie opraw oświetleniowych na energooszczędne LED.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160" w:after="24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Uporządkowaniu i modernizacji instalacji elektrycznej – dostosowanie do nowego układu opraw.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160" w:after="24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Ewentualnych drobnych pracach naprawczych przy stolarce drzwiowej i okiennej.</w:t>
            </w:r>
          </w:p>
          <w:p>
            <w:pPr>
              <w:pStyle w:val="Normal"/>
              <w:widowControl/>
              <w:spacing w:lineRule="auto" w:line="360" w:before="160" w:after="240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Proponowane materiały: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Autospacing="1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Zamawiający dopuszcza zastosowanie materiałów równoważnych, pod warunkiem że posiadają one parametry techniczne, jakościowe i użytkowe nie gorsze niż wskazane w opisie przedmiotu zamówienia.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Proponowane materiały powinny być fabrycznie nowe, wolne od wad, dopuszczone do obrotu i stosowania na terenie RP, posiadać wymagane atesty, certyfikaty i deklaracje zgodności oraz spełniać co najmniej następujące wymagania: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12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Farba: farba dyspersyjna, lateksowa, z atestem PZH (np. Śnieżka Plamoodporna, Beckers Designer Kitchen &amp; Bathroom lub równoważna).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Oprawy LED o natężeniu oświetlenia min. 500 lx, barwa neutralna (4000 K).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Włączniki i gniazda: z serii zmywalnych (np. Legrand Plexo IP44 lub równoważne).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Przewody i osprzęt elektryczny zgodny z normą PN-HD 60364.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360" w:before="0" w:after="0"/>
              <w:contextualSpacing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Wymagane normy: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12464-1 – oświetlenie.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PN-EN ISO 11998 – odporność farb na zmywanie.</w:t>
            </w:r>
          </w:p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</w:tabs>
              <w:spacing w:lineRule="auto" w:line="360" w:before="0" w:after="0"/>
              <w:ind w:hanging="360" w:start="827"/>
              <w:jc w:val="both"/>
              <w:rPr>
                <w:rFonts w:ascii="Aptos Display" w:hAnsi="Aptos Display" w:eastAsia="Times New Roman" w:cs="Arial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eastAsia="Times New Roman" w:cs="Arial" w:ascii="Aptos Display" w:hAnsi="Aptos Display"/>
                <w:kern w:val="2"/>
                <w:sz w:val="24"/>
                <w:szCs w:val="24"/>
                <w:lang w:val="pl-PL" w:eastAsia="pl-PL" w:bidi="ar-SA"/>
                <w14:ligatures w14:val="standardContextual"/>
              </w:rPr>
              <w:t>Atesty PZH dla farb i materiałów wykończeniowych.</w:t>
            </w:r>
          </w:p>
        </w:tc>
      </w:tr>
    </w:tbl>
    <w:p>
      <w:pPr>
        <w:pStyle w:val="Normal"/>
        <w:tabs>
          <w:tab w:val="clear" w:pos="709"/>
          <w:tab w:val="left" w:pos="7905" w:leader="none"/>
        </w:tabs>
        <w:spacing w:before="240" w:after="16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Zamawiający dopuszcza możliwość przeprowadzenia wizji lokalnej przed złożeniem oferty w ramach postępowania dotyczącego remontu łazienki i pokoju pielęgniarek. Wizja lokalna ma na celu umożliwienie wykonawcom zapoznania się z warunkami technicznymi oraz zakresem planowanych robót. Udział w wizji lokalnej nie jest obowiązkowy, lecz zalecany w celu prawidłowego skalkulowania ceny oferty. Termin i zasady przeprowadzenia wizji lokalnej zostaną uzgodnione z Zamawiającym.</w:t>
      </w:r>
    </w:p>
    <w:p>
      <w:pPr>
        <w:pStyle w:val="Normal"/>
        <w:tabs>
          <w:tab w:val="clear" w:pos="709"/>
          <w:tab w:val="left" w:pos="7905" w:leader="none"/>
        </w:tabs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p>
      <w:pPr>
        <w:pStyle w:val="Normal"/>
        <w:tabs>
          <w:tab w:val="clear" w:pos="709"/>
          <w:tab w:val="left" w:pos="7905" w:leader="none"/>
        </w:tabs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………………………………</w:t>
      </w:r>
      <w:r>
        <w:rPr>
          <w:rFonts w:ascii="Aptos Display" w:hAnsi="Aptos Display"/>
          <w:sz w:val="24"/>
          <w:szCs w:val="24"/>
        </w:rPr>
        <w:t>..</w:t>
      </w:r>
    </w:p>
    <w:p>
      <w:pPr>
        <w:pStyle w:val="Normal"/>
        <w:tabs>
          <w:tab w:val="clear" w:pos="709"/>
          <w:tab w:val="left" w:pos="7905" w:leader="none"/>
        </w:tabs>
        <w:spacing w:before="0" w:after="160"/>
        <w:jc w:val="end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Podpis Oferenta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entury Gothic">
    <w:charset w:val="ee" w:characterSet="windows-1250"/>
    <w:family w:val="swiss"/>
    <w:pitch w:val="variable"/>
  </w:font>
  <w:font w:name="Aptos Display">
    <w:charset w:val="ee" w:characterSet="windows-1250"/>
    <w:family w:val="swiss"/>
    <w:pitch w:val="variable"/>
  </w:font>
  <w:font w:name="Roboto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8167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81675" cy="58102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o"/>
      <w:lvlJc w:val="start"/>
      <w:pPr>
        <w:tabs>
          <w:tab w:val="num" w:pos="502"/>
        </w:tabs>
        <w:ind w:start="502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2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55ecc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55ecc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e17e3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e17e3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255ecc"/>
    <w:rPr/>
  </w:style>
  <w:style w:type="character" w:styleId="StopkaZnak" w:customStyle="1">
    <w:name w:val="Stopka Znak"/>
    <w:basedOn w:val="DefaultParagraphFont"/>
    <w:uiPriority w:val="99"/>
    <w:qFormat/>
    <w:rsid w:val="00255ec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55ecc"/>
    <w:rPr>
      <w:rFonts w:ascii="Tahoma" w:hAnsi="Tahoma" w:cs="Tahoma"/>
      <w:sz w:val="16"/>
      <w:szCs w:val="16"/>
    </w:rPr>
  </w:style>
  <w:style w:type="character" w:styleId="Nagwek1Znak" w:customStyle="1">
    <w:name w:val="Nagłówek 1 Znak"/>
    <w:basedOn w:val="DefaultParagraphFont"/>
    <w:uiPriority w:val="9"/>
    <w:qFormat/>
    <w:rsid w:val="00255ecc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55ecc"/>
    <w:rPr>
      <w:color w:themeColor="hyperlink"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55ecc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255ecc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55ecc"/>
    <w:rPr>
      <w:b/>
      <w:bCs/>
      <w:sz w:val="20"/>
      <w:szCs w:val="20"/>
    </w:rPr>
  </w:style>
  <w:style w:type="character" w:styleId="AkapitzlistZnak" w:customStyle="1">
    <w:name w:val="Akapit z listą Znak"/>
    <w:link w:val="ListParagraph"/>
    <w:uiPriority w:val="34"/>
    <w:qFormat/>
    <w:locked/>
    <w:rsid w:val="00077eb2"/>
    <w:rPr/>
  </w:style>
  <w:style w:type="character" w:styleId="Nagwek2Znak" w:customStyle="1">
    <w:name w:val="Nagłówek 2 Znak"/>
    <w:basedOn w:val="DefaultParagraphFont"/>
    <w:uiPriority w:val="9"/>
    <w:qFormat/>
    <w:rsid w:val="00fe17e3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Nagwek3Znak" w:customStyle="1">
    <w:name w:val="Nagłówek 3 Znak"/>
    <w:basedOn w:val="DefaultParagraphFont"/>
    <w:uiPriority w:val="9"/>
    <w:semiHidden/>
    <w:qFormat/>
    <w:rsid w:val="00fe17e3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e17e3"/>
    <w:rPr>
      <w:sz w:val="20"/>
      <w:szCs w:val="20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fe17e3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fe17e3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e17e3"/>
    <w:rPr>
      <w:i/>
      <w:iCs/>
      <w:color w:themeColor="accent1" w:val="4F81BD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e17e3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fe17e3"/>
    <w:rPr>
      <w:color w:val="954F72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55ecc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55ecc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55ec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255ecc"/>
    <w:pPr>
      <w:spacing w:lineRule="auto" w:line="240" w:before="320" w:after="0"/>
      <w:outlineLvl w:val="9"/>
    </w:pPr>
    <w:rPr/>
  </w:style>
  <w:style w:type="paragraph" w:styleId="TOC1">
    <w:name w:val="toc 1"/>
    <w:basedOn w:val="Normal"/>
    <w:next w:val="Normal"/>
    <w:autoRedefine/>
    <w:uiPriority w:val="39"/>
    <w:unhideWhenUsed/>
    <w:rsid w:val="00255ecc"/>
    <w:pPr>
      <w:spacing w:lineRule="auto" w:line="264" w:before="0" w:after="100"/>
    </w:pPr>
    <w:rPr>
      <w:rFonts w:eastAsia="" w:eastAsiaTheme="minorEastAsia"/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255ecc"/>
    <w:pPr>
      <w:spacing w:before="0" w:after="16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255ec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255ecc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dd0867"/>
    <w:pPr>
      <w:spacing w:lineRule="auto" w:line="240" w:beforeAutospacing="1" w:afterAutospacing="1"/>
    </w:pPr>
    <w:rPr>
      <w:rFonts w:ascii="Calibri" w:hAnsi="Calibri" w:cs="Calibri"/>
      <w:lang w:val="en-GB" w:eastAsia="en-GB"/>
    </w:rPr>
  </w:style>
  <w:style w:type="paragraph" w:styleId="Default" w:customStyle="1">
    <w:name w:val="Default"/>
    <w:qFormat/>
    <w:rsid w:val="00602964"/>
    <w:pPr>
      <w:widowControl/>
      <w:bidi w:val="0"/>
      <w:spacing w:lineRule="auto" w:line="240" w:before="0" w:after="0"/>
      <w:jc w:val="star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Revision">
    <w:name w:val="Revision"/>
    <w:uiPriority w:val="99"/>
    <w:semiHidden/>
    <w:qFormat/>
    <w:rsid w:val="00f646e1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Spacing">
    <w:name w:val="No Spacing"/>
    <w:uiPriority w:val="1"/>
    <w:qFormat/>
    <w:rsid w:val="00373f6a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e17e3"/>
    <w:pPr>
      <w:spacing w:lineRule="auto" w:line="240" w:before="0" w:after="0"/>
    </w:pPr>
    <w:rPr>
      <w:sz w:val="20"/>
      <w:szCs w:val="20"/>
    </w:rPr>
  </w:style>
  <w:style w:type="paragraph" w:styleId="msonormal" w:customStyle="1">
    <w:name w:val="msonormal"/>
    <w:basedOn w:val="Normal"/>
    <w:qFormat/>
    <w:rsid w:val="00fe17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xl63" w:customStyle="1">
    <w:name w:val="xl63"/>
    <w:basedOn w:val="Normal"/>
    <w:qFormat/>
    <w:rsid w:val="00fe17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xl64" w:customStyle="1">
    <w:name w:val="xl64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4C6E7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65" w:customStyle="1">
    <w:name w:val="xl65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sz w:val="24"/>
      <w:szCs w:val="24"/>
      <w:lang w:eastAsia="pl-PL"/>
    </w:rPr>
  </w:style>
  <w:style w:type="paragraph" w:styleId="xl66" w:customStyle="1">
    <w:name w:val="xl66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67" w:customStyle="1">
    <w:name w:val="xl67"/>
    <w:basedOn w:val="Normal"/>
    <w:qFormat/>
    <w:rsid w:val="00fe17e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68" w:customStyle="1">
    <w:name w:val="xl68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Century Gothic" w:hAnsi="Century Gothic" w:eastAsia="Times New Roman" w:cs="Times New Roman"/>
      <w:sz w:val="24"/>
      <w:szCs w:val="24"/>
      <w:lang w:eastAsia="pl-PL"/>
    </w:rPr>
  </w:style>
  <w:style w:type="paragraph" w:styleId="xl69" w:customStyle="1">
    <w:name w:val="xl69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sz w:val="24"/>
      <w:szCs w:val="24"/>
      <w:lang w:eastAsia="pl-PL"/>
    </w:rPr>
  </w:style>
  <w:style w:type="paragraph" w:styleId="xl70" w:customStyle="1">
    <w:name w:val="xl70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4C6E7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71" w:customStyle="1">
    <w:name w:val="xl71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72" w:customStyle="1">
    <w:name w:val="xl72"/>
    <w:basedOn w:val="Normal"/>
    <w:qFormat/>
    <w:rsid w:val="00fe17e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73" w:customStyle="1">
    <w:name w:val="xl73"/>
    <w:basedOn w:val="Normal"/>
    <w:qFormat/>
    <w:rsid w:val="00fe17e3"/>
    <w:pPr>
      <w:pBdr>
        <w:top w:val="single" w:sz="8" w:space="0" w:color="000000"/>
        <w:bottom w:val="single" w:sz="8" w:space="0" w:color="000000"/>
      </w:pBdr>
      <w:shd w:val="clear" w:color="000000" w:fill="DBDBDB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xl75" w:customStyle="1">
    <w:name w:val="xl75"/>
    <w:basedOn w:val="Normal"/>
    <w:qFormat/>
    <w:rsid w:val="00fe17e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BDBDB"/>
      <w:spacing w:lineRule="auto" w:line="240" w:beforeAutospacing="1" w:afterAutospacing="1"/>
      <w:jc w:val="center"/>
      <w:textAlignment w:val="center"/>
    </w:pPr>
    <w:rPr>
      <w:rFonts w:ascii="Century Gothic" w:hAnsi="Century Gothic" w:eastAsia="Times New Roman" w:cs="Times New Roman"/>
      <w:b/>
      <w:bCs/>
      <w:sz w:val="28"/>
      <w:szCs w:val="28"/>
      <w:lang w:eastAsia="pl-PL"/>
    </w:rPr>
  </w:style>
  <w:style w:type="paragraph" w:styleId="xl76" w:customStyle="1">
    <w:name w:val="xl76"/>
    <w:basedOn w:val="Normal"/>
    <w:qFormat/>
    <w:rsid w:val="00fe17e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BDBDB"/>
      <w:spacing w:lineRule="auto" w:line="240" w:beforeAutospacing="1" w:afterAutospacing="1"/>
      <w:jc w:val="center"/>
      <w:textAlignment w:val="center"/>
    </w:pPr>
    <w:rPr>
      <w:rFonts w:ascii="Century Gothic" w:hAnsi="Century Gothic" w:eastAsia="Times New Roman" w:cs="Times New Roman"/>
      <w:b/>
      <w:bCs/>
      <w:sz w:val="28"/>
      <w:szCs w:val="28"/>
      <w:lang w:eastAsia="pl-PL"/>
    </w:rPr>
  </w:style>
  <w:style w:type="paragraph" w:styleId="xl77" w:customStyle="1">
    <w:name w:val="xl77"/>
    <w:basedOn w:val="Normal"/>
    <w:qFormat/>
    <w:rsid w:val="00fe17e3"/>
    <w:pPr>
      <w:pBdr>
        <w:top w:val="single" w:sz="8" w:space="0" w:color="000000"/>
        <w:bottom w:val="single" w:sz="8" w:space="0" w:color="000000"/>
      </w:pBdr>
      <w:shd w:val="clear" w:color="000000" w:fill="DBDBDB"/>
      <w:spacing w:lineRule="auto" w:line="240" w:beforeAutospacing="1" w:afterAutospacing="1"/>
      <w:jc w:val="center"/>
      <w:textAlignment w:val="center"/>
    </w:pPr>
    <w:rPr>
      <w:rFonts w:ascii="Century Gothic" w:hAnsi="Century Gothic" w:eastAsia="Times New Roman" w:cs="Times New Roman"/>
      <w:b/>
      <w:bCs/>
      <w:sz w:val="28"/>
      <w:szCs w:val="28"/>
      <w:lang w:eastAsia="pl-PL"/>
    </w:rPr>
  </w:style>
  <w:style w:type="paragraph" w:styleId="xl78" w:customStyle="1">
    <w:name w:val="xl78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Calibri" w:hAnsi="Calibri" w:eastAsia="Times New Roman" w:cs="Calibri"/>
      <w:b/>
      <w:bCs/>
      <w:sz w:val="24"/>
      <w:szCs w:val="24"/>
      <w:lang w:eastAsia="pl-PL"/>
    </w:rPr>
  </w:style>
  <w:style w:type="paragraph" w:styleId="xl79" w:customStyle="1">
    <w:name w:val="xl79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Calibri" w:hAnsi="Calibri" w:eastAsia="Times New Roman" w:cs="Calibri"/>
      <w:b/>
      <w:bCs/>
      <w:sz w:val="24"/>
      <w:szCs w:val="24"/>
      <w:lang w:eastAsia="pl-PL"/>
    </w:rPr>
  </w:style>
  <w:style w:type="paragraph" w:styleId="xl80" w:customStyle="1">
    <w:name w:val="xl80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4C6E7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sz w:val="24"/>
      <w:szCs w:val="24"/>
      <w:lang w:eastAsia="pl-PL"/>
    </w:rPr>
  </w:style>
  <w:style w:type="paragraph" w:styleId="xl81" w:customStyle="1">
    <w:name w:val="xl81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82" w:customStyle="1">
    <w:name w:val="xl82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24"/>
      <w:szCs w:val="24"/>
      <w:lang w:eastAsia="pl-PL"/>
    </w:rPr>
  </w:style>
  <w:style w:type="paragraph" w:styleId="xl74" w:customStyle="1">
    <w:name w:val="xl74"/>
    <w:basedOn w:val="Normal"/>
    <w:qFormat/>
    <w:rsid w:val="00fe17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lineRule="auto" w:line="240" w:beforeAutospacing="1" w:afterAutospacing="1"/>
      <w:textAlignment w:val="center"/>
    </w:pPr>
    <w:rPr>
      <w:rFonts w:ascii="Century Gothic" w:hAnsi="Century Gothic" w:eastAsia="Times New Roman" w:cs="Times New Roman"/>
      <w:b/>
      <w:bCs/>
      <w:sz w:val="16"/>
      <w:szCs w:val="16"/>
      <w:lang w:eastAsia="pl-PL"/>
    </w:rPr>
  </w:style>
  <w:style w:type="paragraph" w:styleId="xl83" w:customStyle="1">
    <w:name w:val="xl83"/>
    <w:basedOn w:val="Normal"/>
    <w:qFormat/>
    <w:rsid w:val="00fe17e3"/>
    <w:pPr>
      <w:pBdr>
        <w:top w:val="single" w:sz="8" w:space="0" w:color="000000"/>
        <w:bottom w:val="single" w:sz="8" w:space="0" w:color="000000"/>
      </w:pBdr>
      <w:shd w:val="clear" w:color="000000" w:fill="DBDBDB"/>
      <w:spacing w:lineRule="auto" w:line="240" w:beforeAutospacing="1" w:afterAutospacing="1"/>
    </w:pPr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xl84" w:customStyle="1">
    <w:name w:val="xl84"/>
    <w:basedOn w:val="Normal"/>
    <w:qFormat/>
    <w:rsid w:val="00fe17e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BDBDB"/>
      <w:spacing w:lineRule="auto" w:line="240" w:beforeAutospacing="1" w:afterAutospacing="1"/>
      <w:jc w:val="center"/>
      <w:textAlignment w:val="center"/>
    </w:pPr>
    <w:rPr>
      <w:rFonts w:ascii="Century Gothic" w:hAnsi="Century Gothic" w:eastAsia="Times New Roman" w:cs="Times New Roman"/>
      <w:b/>
      <w:bCs/>
      <w:sz w:val="16"/>
      <w:szCs w:val="16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55e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6752-215B-452B-9944-0EC76D23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Application>LibreOffice/26.2.2.2$Windows_X86_64 LibreOffice_project/1f77d10d6938fd34972958f64b2bcfa54f8b1ba5</Application>
  <AppVersion>15.0000</AppVersion>
  <Pages>5</Pages>
  <Words>866</Words>
  <Characters>5935</Characters>
  <CharactersWithSpaces>6699</CharactersWithSpaces>
  <Paragraphs>77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2026-02-05T11:22:00Z</dcterms:created>
  <dc:creator>Ewa</dc:creator>
  <dc:description/>
  <dc:language>pl-PL</dc:language>
  <cp:lastModifiedBy/>
  <cp:lastPrinted>2026-01-29T13:05:00Z</cp:lastPrinted>
  <dcterms:modified xsi:type="dcterms:W3CDTF">2026-04-21T09:00:04Z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